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9B22" w14:textId="6EF3FECA" w:rsidR="00AF79E8" w:rsidRPr="00A33425" w:rsidRDefault="00AF79E8" w:rsidP="00AF79E8">
      <w:pPr>
        <w:rPr>
          <w:rFonts w:ascii="Times New Roman" w:hAnsi="Times New Roman" w:cs="Times New Roman"/>
          <w:b/>
          <w:lang w:val="en-GB"/>
          <w14:ligatures w14:val="all"/>
          <w14:numForm w14:val="oldStyle"/>
        </w:rPr>
      </w:pPr>
      <w:r w:rsidRPr="00A33425">
        <w:rPr>
          <w:rFonts w:ascii="Times New Roman" w:hAnsi="Times New Roman" w:cs="Times New Roman"/>
          <w:b/>
          <w:lang w:val="en-GB"/>
          <w14:ligatures w14:val="all"/>
          <w14:numForm w14:val="oldStyle"/>
        </w:rPr>
        <w:t>Course literature for RETN10, Rhetorical argumentation, 7.5 credits, autumn 2023</w:t>
      </w:r>
    </w:p>
    <w:p w14:paraId="70AB9DF6" w14:textId="77777777" w:rsidR="00AF79E8" w:rsidRPr="00A33425" w:rsidRDefault="00AF79E8" w:rsidP="00AF79E8">
      <w:pPr>
        <w:rPr>
          <w:rFonts w:ascii="Times New Roman" w:hAnsi="Times New Roman" w:cs="Times New Roman"/>
          <w:bCs/>
          <w:lang w:val="en-GB"/>
          <w14:ligatures w14:val="all"/>
          <w14:numForm w14:val="oldStyle"/>
        </w:rPr>
      </w:pPr>
    </w:p>
    <w:p w14:paraId="2A4526F0" w14:textId="16D5F80A" w:rsidR="00AF79E8" w:rsidRPr="00A33425" w:rsidRDefault="00AF79E8" w:rsidP="00AF79E8">
      <w:pPr>
        <w:pBdr>
          <w:bottom w:val="single" w:sz="4" w:space="1" w:color="auto"/>
        </w:pBdr>
        <w:rPr>
          <w:rFonts w:ascii="Times New Roman" w:hAnsi="Times New Roman" w:cs="Times New Roman"/>
          <w:bCs/>
          <w:lang w:val="en-GB"/>
          <w14:ligatures w14:val="all"/>
          <w14:numForm w14:val="oldStyle"/>
        </w:rPr>
      </w:pPr>
      <w:r w:rsidRPr="00A33425">
        <w:rPr>
          <w:rFonts w:ascii="Times New Roman" w:hAnsi="Times New Roman" w:cs="Times New Roman"/>
          <w:bCs/>
          <w:lang w:val="en-GB"/>
          <w14:ligatures w14:val="all"/>
          <w14:numForm w14:val="oldStyle"/>
        </w:rPr>
        <w:t xml:space="preserve">Established by the head of the Department of Communication and Media, Lund University, </w:t>
      </w:r>
      <w:r w:rsidRPr="00A33425">
        <w:rPr>
          <w:rFonts w:ascii="Times New Roman" w:hAnsi="Times New Roman" w:cs="Times New Roman"/>
          <w:bCs/>
          <w:lang w:val="en-GB"/>
          <w14:ligatures w14:val="all"/>
          <w14:numForm w14:val="oldStyle"/>
        </w:rPr>
        <w:br/>
      </w:r>
      <w:r w:rsidR="00CE3F29">
        <w:rPr>
          <w:rFonts w:ascii="Times New Roman" w:hAnsi="Times New Roman" w:cs="Times New Roman"/>
          <w:bCs/>
          <w:lang w:val="en-GB"/>
          <w14:ligatures w14:val="all"/>
          <w14:numForm w14:val="oldStyle"/>
        </w:rPr>
        <w:t>19 June</w:t>
      </w:r>
      <w:r w:rsidRPr="00A33425">
        <w:rPr>
          <w:rFonts w:ascii="Times New Roman" w:hAnsi="Times New Roman" w:cs="Times New Roman"/>
          <w:bCs/>
          <w:lang w:val="en-GB"/>
          <w14:ligatures w14:val="all"/>
          <w14:numForm w14:val="oldStyle"/>
        </w:rPr>
        <w:t xml:space="preserve"> 2023.</w:t>
      </w:r>
    </w:p>
    <w:p w14:paraId="2190DE31" w14:textId="77777777" w:rsidR="00AF79E8" w:rsidRPr="00A33425" w:rsidRDefault="00AF79E8" w:rsidP="00AF79E8">
      <w:pPr>
        <w:rPr>
          <w:rFonts w:ascii="Times New Roman" w:hAnsi="Times New Roman" w:cs="Times New Roman"/>
          <w:bCs/>
          <w:lang w:val="en-GB"/>
          <w14:ligatures w14:val="all"/>
          <w14:numForm w14:val="oldStyle"/>
        </w:rPr>
      </w:pPr>
    </w:p>
    <w:p w14:paraId="32DA9313" w14:textId="77777777" w:rsidR="00C30930" w:rsidRPr="00A33425" w:rsidRDefault="00C30930" w:rsidP="0074717E">
      <w:pPr>
        <w:spacing w:line="360" w:lineRule="auto"/>
        <w:outlineLvl w:val="0"/>
        <w:rPr>
          <w:rStyle w:val="author-listitem"/>
          <w:rFonts w:ascii="Times New Roman" w:hAnsi="Times New Roman" w:cs="Times New Roman"/>
          <w:color w:val="333333"/>
          <w:lang w:val="en-GB"/>
        </w:rPr>
      </w:pPr>
    </w:p>
    <w:p w14:paraId="5B5C5BF3" w14:textId="0EE99A8C" w:rsidR="0074717E" w:rsidRPr="00A33425" w:rsidRDefault="0074717E" w:rsidP="0074717E">
      <w:pPr>
        <w:spacing w:line="360" w:lineRule="auto"/>
        <w:outlineLvl w:val="0"/>
        <w:rPr>
          <w:rFonts w:ascii="Times New Roman" w:hAnsi="Times New Roman" w:cs="Times New Roman"/>
        </w:rPr>
      </w:pPr>
      <w:r w:rsidRPr="00A33425">
        <w:rPr>
          <w:rStyle w:val="author-listitem"/>
          <w:rFonts w:ascii="Times New Roman" w:hAnsi="Times New Roman" w:cs="Times New Roman"/>
          <w:color w:val="333333"/>
          <w:lang w:val="en-GB"/>
        </w:rPr>
        <w:t>Forchtner,</w:t>
      </w:r>
      <w:r w:rsidRPr="00A33425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lang w:val="en-GB"/>
        </w:rPr>
        <w:t> </w:t>
      </w:r>
      <w:r w:rsidRPr="00A33425">
        <w:rPr>
          <w:rStyle w:val="author-listitem"/>
          <w:rFonts w:ascii="Times New Roman" w:hAnsi="Times New Roman" w:cs="Times New Roman"/>
          <w:color w:val="333333"/>
          <w:lang w:val="en-GB"/>
        </w:rPr>
        <w:t>Bernhard and</w:t>
      </w:r>
      <w:r w:rsidRPr="00A33425">
        <w:rPr>
          <w:rStyle w:val="apple-converted-space"/>
          <w:rFonts w:ascii="Times New Roman" w:hAnsi="Times New Roman" w:cs="Times New Roman"/>
          <w:color w:val="333333"/>
          <w:lang w:val="en-GB"/>
        </w:rPr>
        <w:t> </w:t>
      </w:r>
      <w:r w:rsidRPr="00A33425">
        <w:rPr>
          <w:rStyle w:val="author-listitem"/>
          <w:rFonts w:ascii="Times New Roman" w:hAnsi="Times New Roman" w:cs="Times New Roman"/>
          <w:color w:val="333333"/>
          <w:lang w:val="en-GB"/>
        </w:rPr>
        <w:t>Ana Tominc</w:t>
      </w:r>
      <w:r w:rsidRPr="00A33425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lang w:val="en-GB"/>
        </w:rPr>
        <w:t>.</w:t>
      </w:r>
      <w:r w:rsidRPr="00A33425">
        <w:rPr>
          <w:rFonts w:ascii="Times New Roman" w:eastAsia="Times New Roman" w:hAnsi="Times New Roman" w:cs="Times New Roman"/>
          <w:color w:val="333333"/>
          <w:kern w:val="36"/>
          <w:lang w:val="en-GB" w:eastAsia="sv-SE"/>
        </w:rPr>
        <w:t xml:space="preserve"> Critique and argumentation: On the relation between the discourse-historical approach and pragma-dialectics. </w:t>
      </w:r>
      <w:r w:rsidRPr="00A33425">
        <w:rPr>
          <w:rFonts w:ascii="Times New Roman" w:hAnsi="Times New Roman" w:cs="Times New Roman"/>
          <w:i/>
          <w:iCs/>
          <w:lang w:val="en-GB"/>
        </w:rPr>
        <w:t>Journal of Language and Politics</w:t>
      </w:r>
      <w:r w:rsidRPr="00A33425">
        <w:rPr>
          <w:rFonts w:ascii="Times New Roman" w:hAnsi="Times New Roman" w:cs="Times New Roman"/>
          <w:lang w:val="en-GB"/>
        </w:rPr>
        <w:t xml:space="preserve"> 11 nr. 1 (</w:t>
      </w:r>
      <w:r w:rsidRPr="00A33425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2012): 31–50. </w:t>
      </w:r>
      <w:hyperlink r:id="rId6" w:history="1">
        <w:r w:rsidRPr="00A33425">
          <w:rPr>
            <w:rStyle w:val="Hyperlnk"/>
            <w:rFonts w:ascii="Times New Roman" w:hAnsi="Times New Roman" w:cs="Times New Roman"/>
            <w:color w:val="253776"/>
            <w:u w:val="none"/>
            <w:lang w:val="en-GB"/>
          </w:rPr>
          <w:t>https://doi.org/10.1075/jlp.11.1.02for</w:t>
        </w:r>
      </w:hyperlink>
      <w:r w:rsidRPr="00A33425">
        <w:rPr>
          <w:rFonts w:ascii="Times New Roman" w:hAnsi="Times New Roman" w:cs="Times New Roman"/>
          <w:lang w:val="en-GB"/>
        </w:rPr>
        <w:t xml:space="preserve">. </w:t>
      </w:r>
      <w:r w:rsidRPr="00A33425">
        <w:rPr>
          <w:rFonts w:ascii="Times New Roman" w:hAnsi="Times New Roman" w:cs="Times New Roman"/>
        </w:rPr>
        <w:t>[20 pages].</w:t>
      </w:r>
    </w:p>
    <w:p w14:paraId="0140616F" w14:textId="7777777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</w:rPr>
      </w:pPr>
    </w:p>
    <w:p w14:paraId="1DE67EDF" w14:textId="1ADFFC70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  <w:lang w:val="en-GB"/>
        </w:rPr>
      </w:pPr>
      <w:r w:rsidRPr="00A33425">
        <w:rPr>
          <w:rFonts w:ascii="Times New Roman" w:hAnsi="Times New Roman" w:cs="Times New Roman"/>
          <w:color w:val="333333"/>
          <w:shd w:val="clear" w:color="auto" w:fill="FCFCFC"/>
        </w:rPr>
        <w:t xml:space="preserve">Hietanen, Mika. ‘Pragmadialektiikka – 25 vuotta, puolesta ja vastaan’. In </w:t>
      </w:r>
      <w:r w:rsidRPr="00A33425">
        <w:rPr>
          <w:rFonts w:ascii="Times New Roman" w:hAnsi="Times New Roman" w:cs="Times New Roman"/>
          <w:i/>
          <w:color w:val="333333"/>
          <w:shd w:val="clear" w:color="auto" w:fill="FCFCFC"/>
        </w:rPr>
        <w:t xml:space="preserve">Tutkimuksia argumentaatiosta. 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[‘Pragma-Dialectics – 25 Years for and against’. </w:t>
      </w:r>
      <w:r w:rsidRPr="00A33425">
        <w:rPr>
          <w:rFonts w:ascii="Times New Roman" w:hAnsi="Times New Roman" w:cs="Times New Roman"/>
          <w:i/>
          <w:color w:val="333333"/>
          <w:shd w:val="clear" w:color="auto" w:fill="FCFCFC"/>
          <w:lang w:val="en-GB"/>
        </w:rPr>
        <w:t>Research on Argumentation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], edited by Juha Ritola, 207–26. Turku: University of Turku, 2012. [20 pages; for those who </w:t>
      </w:r>
      <w:r w:rsidR="00BF7747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do not 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read Finnish</w:t>
      </w:r>
      <w:r w:rsidR="00BF7747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: 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Wood’s article in </w:t>
      </w:r>
      <w:r w:rsidR="00BF7747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Houtlosser and </w:t>
      </w:r>
      <w:r w:rsidR="00C0063E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v</w:t>
      </w:r>
      <w:r w:rsidR="00FC650B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an Rees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, below].</w:t>
      </w:r>
    </w:p>
    <w:p w14:paraId="2E9DF68C" w14:textId="7777777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  <w:lang w:val="en-GB"/>
        </w:rPr>
      </w:pPr>
    </w:p>
    <w:p w14:paraId="7D082D6A" w14:textId="3B9294E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2B3545"/>
          <w:shd w:val="clear" w:color="auto" w:fill="FFFFFF"/>
          <w:lang w:val="en-GB"/>
        </w:rPr>
      </w:pP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Houtlosser, Peter and M.A</w:t>
      </w:r>
      <w:r w:rsidR="00C95297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.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 xml:space="preserve"> van Rees</w:t>
      </w:r>
      <w:r w:rsidR="00B60D90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 xml:space="preserve"> (Eds)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.</w:t>
      </w:r>
      <w:r w:rsidRPr="00A33425">
        <w:rPr>
          <w:rStyle w:val="apple-converted-space"/>
          <w:rFonts w:ascii="Times New Roman" w:hAnsi="Times New Roman" w:cs="Times New Roman"/>
          <w:color w:val="2B3545"/>
          <w:shd w:val="clear" w:color="auto" w:fill="FFFFFF"/>
          <w:lang w:val="en-GB"/>
        </w:rPr>
        <w:t> </w:t>
      </w:r>
      <w:r w:rsidRPr="00A33425">
        <w:rPr>
          <w:rFonts w:ascii="Times New Roman" w:hAnsi="Times New Roman" w:cs="Times New Roman"/>
          <w:i/>
          <w:iCs/>
          <w:color w:val="2B3545"/>
          <w:lang w:val="en-GB"/>
        </w:rPr>
        <w:t>Considering Pragma-Dialectics.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 xml:space="preserve"> London: Routledge, 2006. [</w:t>
      </w:r>
      <w:r w:rsidR="00E96983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Article of choice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, c.15 p</w:t>
      </w:r>
      <w:r w:rsidR="00C30930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p.</w:t>
      </w:r>
      <w:r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]</w:t>
      </w:r>
      <w:r w:rsidR="00A5605F" w:rsidRPr="00A33425">
        <w:rPr>
          <w:rFonts w:ascii="Times New Roman" w:hAnsi="Times New Roman" w:cs="Times New Roman"/>
          <w:color w:val="2B3545"/>
          <w:shd w:val="clear" w:color="auto" w:fill="FFFFFF"/>
          <w:lang w:val="en-GB"/>
        </w:rPr>
        <w:t>.</w:t>
      </w:r>
    </w:p>
    <w:p w14:paraId="3DC327D1" w14:textId="7777777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2DB592B" w14:textId="1D285581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lang w:val="en-GB"/>
        </w:rPr>
      </w:pPr>
      <w:r w:rsidRPr="00A33425">
        <w:rPr>
          <w:rFonts w:ascii="Times New Roman" w:hAnsi="Times New Roman" w:cs="Times New Roman"/>
          <w:lang w:val="en-GB"/>
        </w:rPr>
        <w:t xml:space="preserve">Kock, Christian. </w:t>
      </w:r>
      <w:r w:rsidR="00A35213" w:rsidRPr="00A33425">
        <w:rPr>
          <w:rFonts w:ascii="Times New Roman" w:hAnsi="Times New Roman" w:cs="Times New Roman"/>
          <w:lang w:val="en-GB"/>
        </w:rPr>
        <w:t>Book review. ‘</w:t>
      </w:r>
      <w:r w:rsidRPr="00A33425">
        <w:rPr>
          <w:rFonts w:ascii="Times New Roman" w:hAnsi="Times New Roman" w:cs="Times New Roman"/>
          <w:lang w:val="en-GB"/>
        </w:rPr>
        <w:t>Considering Pragma-Dialectics</w:t>
      </w:r>
      <w:r w:rsidR="00B60D90" w:rsidRPr="00A33425">
        <w:rPr>
          <w:rFonts w:ascii="Times New Roman" w:hAnsi="Times New Roman" w:cs="Times New Roman"/>
          <w:lang w:val="en-GB"/>
        </w:rPr>
        <w:t xml:space="preserve"> by </w:t>
      </w:r>
      <w:r w:rsidRPr="00A33425">
        <w:rPr>
          <w:rFonts w:ascii="Times New Roman" w:hAnsi="Times New Roman" w:cs="Times New Roman"/>
          <w:lang w:val="en-GB"/>
        </w:rPr>
        <w:t>Peter Houtlosser and Agnès van Rees</w:t>
      </w:r>
      <w:r w:rsidR="00A35213" w:rsidRPr="00A33425">
        <w:rPr>
          <w:rFonts w:ascii="Times New Roman" w:hAnsi="Times New Roman" w:cs="Times New Roman"/>
          <w:lang w:val="en-GB"/>
        </w:rPr>
        <w:t xml:space="preserve"> (Eds</w:t>
      </w:r>
      <w:r w:rsidRPr="00A33425">
        <w:rPr>
          <w:rFonts w:ascii="Times New Roman" w:hAnsi="Times New Roman" w:cs="Times New Roman"/>
          <w:lang w:val="en-GB"/>
        </w:rPr>
        <w:t>.</w:t>
      </w:r>
      <w:r w:rsidR="00A35213" w:rsidRPr="00A33425">
        <w:rPr>
          <w:rFonts w:ascii="Times New Roman" w:hAnsi="Times New Roman" w:cs="Times New Roman"/>
          <w:lang w:val="en-GB"/>
        </w:rPr>
        <w:t>).</w:t>
      </w:r>
      <w:r w:rsidRPr="00A33425">
        <w:rPr>
          <w:rFonts w:ascii="Times New Roman" w:hAnsi="Times New Roman" w:cs="Times New Roman"/>
          <w:lang w:val="en-GB"/>
        </w:rPr>
        <w:t xml:space="preserve"> Mahwah, NJ: Lawrence Erlbaum Associates, 2006</w:t>
      </w:r>
      <w:r w:rsidR="00A35213" w:rsidRPr="00A33425">
        <w:rPr>
          <w:rFonts w:ascii="Times New Roman" w:hAnsi="Times New Roman" w:cs="Times New Roman"/>
          <w:lang w:val="en-GB"/>
        </w:rPr>
        <w:t xml:space="preserve">, 332 pp.’ </w:t>
      </w:r>
      <w:r w:rsidR="00A35213" w:rsidRPr="00A33425">
        <w:rPr>
          <w:rFonts w:ascii="Times New Roman" w:hAnsi="Times New Roman" w:cs="Times New Roman"/>
          <w:i/>
          <w:iCs/>
          <w:lang w:val="en-GB"/>
        </w:rPr>
        <w:t>Informal Logic</w:t>
      </w:r>
      <w:r w:rsidR="00A35213" w:rsidRPr="00A33425">
        <w:rPr>
          <w:rFonts w:ascii="Times New Roman" w:hAnsi="Times New Roman" w:cs="Times New Roman"/>
          <w:lang w:val="en-GB"/>
        </w:rPr>
        <w:t xml:space="preserve"> 26, nr. 2 (2006): 221–227. [7 p</w:t>
      </w:r>
      <w:r w:rsidR="00C30930" w:rsidRPr="00A33425">
        <w:rPr>
          <w:rFonts w:ascii="Times New Roman" w:hAnsi="Times New Roman" w:cs="Times New Roman"/>
          <w:lang w:val="en-GB"/>
        </w:rPr>
        <w:t>p.</w:t>
      </w:r>
      <w:r w:rsidR="00A35213" w:rsidRPr="00A33425">
        <w:rPr>
          <w:rFonts w:ascii="Times New Roman" w:hAnsi="Times New Roman" w:cs="Times New Roman"/>
          <w:lang w:val="en-GB"/>
        </w:rPr>
        <w:t>]</w:t>
      </w:r>
      <w:r w:rsidR="00A5605F" w:rsidRPr="00A33425">
        <w:rPr>
          <w:rFonts w:ascii="Times New Roman" w:hAnsi="Times New Roman" w:cs="Times New Roman"/>
          <w:lang w:val="en-GB"/>
        </w:rPr>
        <w:t>.</w:t>
      </w:r>
    </w:p>
    <w:p w14:paraId="33F86ABD" w14:textId="77777777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C239D44" w14:textId="11DAF9F1" w:rsidR="0074717E" w:rsidRPr="00A33425" w:rsidRDefault="0074717E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  <w:lang w:val="en-GB"/>
        </w:rPr>
      </w:pP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Lumer, C</w:t>
      </w:r>
      <w:r w:rsidR="00B60D90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hristoph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. ‘Pragma-Dialectics and the Function of</w:t>
      </w:r>
      <w:r w:rsidR="008610B9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 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Argumentation.’</w:t>
      </w:r>
      <w:r w:rsidR="008610B9" w:rsidRPr="00A33425">
        <w:rPr>
          <w:rStyle w:val="apple-converted-space"/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 </w:t>
      </w:r>
      <w:r w:rsidRPr="00A33425">
        <w:rPr>
          <w:rFonts w:ascii="Times New Roman" w:hAnsi="Times New Roman" w:cs="Times New Roman"/>
          <w:i/>
          <w:iCs/>
          <w:color w:val="333333"/>
          <w:lang w:val="en-GB"/>
        </w:rPr>
        <w:t>Argumentation</w:t>
      </w:r>
      <w:r w:rsidRPr="00A33425">
        <w:rPr>
          <w:rStyle w:val="apple-converted-space"/>
          <w:rFonts w:ascii="Times New Roman" w:hAnsi="Times New Roman" w:cs="Times New Roman"/>
          <w:color w:val="333333"/>
          <w:shd w:val="clear" w:color="auto" w:fill="FCFCFC"/>
          <w:lang w:val="en-GB"/>
        </w:rPr>
        <w:t> </w:t>
      </w:r>
      <w:r w:rsidRPr="00A33425">
        <w:rPr>
          <w:rFonts w:ascii="Times New Roman" w:hAnsi="Times New Roman" w:cs="Times New Roman"/>
          <w:color w:val="333333"/>
          <w:lang w:val="en-GB"/>
        </w:rPr>
        <w:t>24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 xml:space="preserve"> (2010): 41–69. </w:t>
      </w:r>
      <w:hyperlink r:id="rId7" w:history="1">
        <w:r w:rsidRPr="00A33425">
          <w:rPr>
            <w:rStyle w:val="Hyperlnk"/>
            <w:rFonts w:ascii="Times New Roman" w:hAnsi="Times New Roman" w:cs="Times New Roman"/>
            <w:u w:val="none"/>
            <w:shd w:val="clear" w:color="auto" w:fill="FCFCFC"/>
            <w:lang w:val="en-GB"/>
          </w:rPr>
          <w:t>https://doi.org/10.1007/s10503-008-9118-7</w:t>
        </w:r>
      </w:hyperlink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. [20 p</w:t>
      </w:r>
      <w:r w:rsidR="00C30930"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p.</w:t>
      </w:r>
      <w:r w:rsidRPr="00A33425">
        <w:rPr>
          <w:rFonts w:ascii="Times New Roman" w:hAnsi="Times New Roman" w:cs="Times New Roman"/>
          <w:color w:val="333333"/>
          <w:shd w:val="clear" w:color="auto" w:fill="FCFCFC"/>
          <w:lang w:val="en-GB"/>
        </w:rPr>
        <w:t>].</w:t>
      </w:r>
    </w:p>
    <w:p w14:paraId="7DB7E1D5" w14:textId="77777777" w:rsidR="00B60D90" w:rsidRPr="00A33425" w:rsidRDefault="00B60D90" w:rsidP="0074717E">
      <w:pPr>
        <w:spacing w:line="360" w:lineRule="auto"/>
        <w:rPr>
          <w:rFonts w:ascii="Times New Roman" w:hAnsi="Times New Roman" w:cs="Times New Roman"/>
          <w:color w:val="333333"/>
          <w:shd w:val="clear" w:color="auto" w:fill="FCFCFC"/>
          <w:lang w:val="en-GB"/>
        </w:rPr>
      </w:pPr>
    </w:p>
    <w:p w14:paraId="0ADB599A" w14:textId="580ECF8C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>van Eemeren, F.H. (</w:t>
      </w:r>
      <w:r w:rsidR="00B60D90" w:rsidRPr="00A33425">
        <w:rPr>
          <w:lang w:val="en-GB"/>
        </w:rPr>
        <w:t>E</w:t>
      </w:r>
      <w:r w:rsidRPr="00A33425">
        <w:rPr>
          <w:lang w:val="en-GB"/>
        </w:rPr>
        <w:t xml:space="preserve">d.), </w:t>
      </w:r>
      <w:r w:rsidRPr="00A33425">
        <w:rPr>
          <w:i/>
          <w:lang w:val="en-GB"/>
        </w:rPr>
        <w:t>Crucial concepts in argumentation theory</w:t>
      </w:r>
      <w:r w:rsidRPr="00A33425">
        <w:rPr>
          <w:lang w:val="en-GB"/>
        </w:rPr>
        <w:t>. Amsterdam: Amsterdam University Press, 2001. [239 p</w:t>
      </w:r>
      <w:r w:rsidR="00C30930" w:rsidRPr="00A33425">
        <w:rPr>
          <w:lang w:val="en-GB"/>
        </w:rPr>
        <w:t>p.</w:t>
      </w:r>
      <w:r w:rsidRPr="00A33425">
        <w:rPr>
          <w:lang w:val="en-GB"/>
        </w:rPr>
        <w:t>]</w:t>
      </w:r>
      <w:r w:rsidR="00A5605F" w:rsidRPr="00A33425">
        <w:rPr>
          <w:lang w:val="en-GB"/>
        </w:rPr>
        <w:t>.</w:t>
      </w:r>
    </w:p>
    <w:p w14:paraId="1C0918FA" w14:textId="77777777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</w:p>
    <w:p w14:paraId="240FF2DB" w14:textId="3857FC53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>van Eemeren, F.H. and Snoeck, H.A.F. </w:t>
      </w:r>
      <w:r w:rsidRPr="00A33425">
        <w:rPr>
          <w:i/>
          <w:iCs/>
          <w:lang w:val="en-GB"/>
        </w:rPr>
        <w:t>Argumentation: Analysis and evaluation</w:t>
      </w:r>
      <w:r w:rsidRPr="00A33425">
        <w:rPr>
          <w:lang w:val="en-GB"/>
        </w:rPr>
        <w:t>. 2nd ed</w:t>
      </w:r>
      <w:r w:rsidR="00B60D90" w:rsidRPr="00A33425">
        <w:rPr>
          <w:lang w:val="en-GB"/>
        </w:rPr>
        <w:t>n</w:t>
      </w:r>
      <w:r w:rsidRPr="00A33425">
        <w:rPr>
          <w:lang w:val="en-GB"/>
        </w:rPr>
        <w:t>. New York, NY: Routledge, 2017. [1st ed</w:t>
      </w:r>
      <w:r w:rsidR="00B60D90" w:rsidRPr="00A33425">
        <w:rPr>
          <w:lang w:val="en-GB"/>
        </w:rPr>
        <w:t>n</w:t>
      </w:r>
      <w:r w:rsidRPr="00A33425">
        <w:rPr>
          <w:lang w:val="en-GB"/>
        </w:rPr>
        <w:t xml:space="preserve"> not </w:t>
      </w:r>
      <w:r w:rsidR="00A5605F" w:rsidRPr="00A33425">
        <w:rPr>
          <w:lang w:val="en-GB"/>
        </w:rPr>
        <w:t xml:space="preserve">to </w:t>
      </w:r>
      <w:r w:rsidRPr="00A33425">
        <w:rPr>
          <w:lang w:val="en-GB"/>
        </w:rPr>
        <w:t>be used] [174 p</w:t>
      </w:r>
      <w:r w:rsidR="003A2F09" w:rsidRPr="00A33425">
        <w:rPr>
          <w:lang w:val="en-GB"/>
        </w:rPr>
        <w:t>p.</w:t>
      </w:r>
      <w:r w:rsidRPr="00A33425">
        <w:rPr>
          <w:lang w:val="en-GB"/>
        </w:rPr>
        <w:t>]</w:t>
      </w:r>
      <w:r w:rsidR="00A5605F" w:rsidRPr="00A33425">
        <w:rPr>
          <w:lang w:val="en-GB"/>
        </w:rPr>
        <w:t>.</w:t>
      </w:r>
    </w:p>
    <w:p w14:paraId="12E492B4" w14:textId="77777777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</w:p>
    <w:p w14:paraId="65DCC061" w14:textId="5FF11CDF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2B0B95">
        <w:t xml:space="preserve">van Eemeren, F.H. et al. </w:t>
      </w:r>
      <w:r w:rsidRPr="00A33425">
        <w:rPr>
          <w:lang w:val="en-GB"/>
        </w:rPr>
        <w:t>(</w:t>
      </w:r>
      <w:r w:rsidR="00B60D90" w:rsidRPr="00A33425">
        <w:rPr>
          <w:lang w:val="en-GB"/>
        </w:rPr>
        <w:t>E</w:t>
      </w:r>
      <w:r w:rsidRPr="00A33425">
        <w:rPr>
          <w:lang w:val="en-GB"/>
        </w:rPr>
        <w:t xml:space="preserve">ds) </w:t>
      </w:r>
      <w:r w:rsidRPr="00A33425">
        <w:rPr>
          <w:i/>
          <w:lang w:val="en-GB"/>
        </w:rPr>
        <w:t>Handbook of Argumentation Theory,</w:t>
      </w:r>
      <w:r w:rsidRPr="00A33425">
        <w:rPr>
          <w:lang w:val="en-GB"/>
        </w:rPr>
        <w:t xml:space="preserve"> Dordrecht: Springer, 2014 [Later editions are reprints, including an e-book. </w:t>
      </w:r>
      <w:r w:rsidRPr="00A33425">
        <w:rPr>
          <w:i/>
          <w:iCs/>
          <w:lang w:val="en-GB"/>
        </w:rPr>
        <w:t>Full text access via LUB.</w:t>
      </w:r>
      <w:r w:rsidRPr="00A33425">
        <w:rPr>
          <w:lang w:val="en-GB"/>
        </w:rPr>
        <w:t>] [selection: 150 p</w:t>
      </w:r>
      <w:r w:rsidR="00775993" w:rsidRPr="00A33425">
        <w:rPr>
          <w:lang w:val="en-GB"/>
        </w:rPr>
        <w:t>p.</w:t>
      </w:r>
      <w:r w:rsidRPr="00A33425">
        <w:rPr>
          <w:lang w:val="en-GB"/>
        </w:rPr>
        <w:t>]</w:t>
      </w:r>
      <w:r w:rsidR="00A5605F" w:rsidRPr="00A33425">
        <w:rPr>
          <w:lang w:val="en-GB"/>
        </w:rPr>
        <w:t>.</w:t>
      </w:r>
    </w:p>
    <w:p w14:paraId="60CD43E5" w14:textId="77777777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</w:p>
    <w:p w14:paraId="3DB28F4B" w14:textId="36411504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lastRenderedPageBreak/>
        <w:t xml:space="preserve">van Eemeren, F.H. &amp; Grootendorst, R. </w:t>
      </w:r>
      <w:r w:rsidRPr="00A33425">
        <w:rPr>
          <w:i/>
          <w:iCs/>
          <w:lang w:val="en-GB"/>
        </w:rPr>
        <w:t>Argumentation, Communication, and Fallacies: A Pragma-dialectical Perspective</w:t>
      </w:r>
      <w:r w:rsidRPr="00A33425">
        <w:rPr>
          <w:lang w:val="en-GB"/>
        </w:rPr>
        <w:t>. Hillsdale, NJ: Lawrence Erlbaum, 1992. [Later editions are reprints, including an e-book.] [227 of 252 p</w:t>
      </w:r>
      <w:r w:rsidR="00585878" w:rsidRPr="00A33425">
        <w:rPr>
          <w:lang w:val="en-GB"/>
        </w:rPr>
        <w:t>p.</w:t>
      </w:r>
      <w:r w:rsidRPr="00A33425">
        <w:rPr>
          <w:lang w:val="en-GB"/>
        </w:rPr>
        <w:t>]</w:t>
      </w:r>
      <w:r w:rsidR="00A5605F" w:rsidRPr="00A33425">
        <w:rPr>
          <w:lang w:val="en-GB"/>
        </w:rPr>
        <w:t>.</w:t>
      </w:r>
    </w:p>
    <w:p w14:paraId="063007B1" w14:textId="77777777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</w:p>
    <w:p w14:paraId="2546B374" w14:textId="0CA0EBD1" w:rsidR="005F7EB1" w:rsidRPr="00A33425" w:rsidRDefault="005F7EB1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 xml:space="preserve">Woods, John. ‘Pragma-Dialectics.’ A Retrospective. In </w:t>
      </w:r>
      <w:r w:rsidRPr="00A33425">
        <w:rPr>
          <w:i/>
          <w:iCs/>
          <w:color w:val="2B3545"/>
          <w:lang w:val="en-GB"/>
        </w:rPr>
        <w:t xml:space="preserve">Considering Pragma-Dialectics, </w:t>
      </w:r>
      <w:r w:rsidRPr="00A33425">
        <w:rPr>
          <w:color w:val="2B3545"/>
          <w:lang w:val="en-GB"/>
        </w:rPr>
        <w:t>edited by</w:t>
      </w:r>
      <w:r w:rsidRPr="00A33425">
        <w:rPr>
          <w:lang w:val="en-GB"/>
        </w:rPr>
        <w:t xml:space="preserve"> Peter </w:t>
      </w:r>
      <w:r w:rsidRPr="00A33425">
        <w:rPr>
          <w:color w:val="2B3545"/>
          <w:shd w:val="clear" w:color="auto" w:fill="FFFFFF"/>
          <w:lang w:val="en-GB"/>
        </w:rPr>
        <w:t>Houtlosser and M.A</w:t>
      </w:r>
      <w:r w:rsidR="00C30930" w:rsidRPr="00A33425">
        <w:rPr>
          <w:color w:val="2B3545"/>
          <w:shd w:val="clear" w:color="auto" w:fill="FFFFFF"/>
          <w:lang w:val="en-GB"/>
        </w:rPr>
        <w:t>.</w:t>
      </w:r>
      <w:r w:rsidRPr="00A33425">
        <w:rPr>
          <w:color w:val="2B3545"/>
          <w:shd w:val="clear" w:color="auto" w:fill="FFFFFF"/>
          <w:lang w:val="en-GB"/>
        </w:rPr>
        <w:t xml:space="preserve"> van Rees, 301–311. London: Routledge, 2006</w:t>
      </w:r>
      <w:r w:rsidR="00F5609C" w:rsidRPr="00A33425">
        <w:rPr>
          <w:color w:val="2B3545"/>
          <w:shd w:val="clear" w:color="auto" w:fill="FFFFFF"/>
          <w:lang w:val="en-GB"/>
        </w:rPr>
        <w:t>. [10 p</w:t>
      </w:r>
      <w:r w:rsidR="00705D53" w:rsidRPr="00A33425">
        <w:rPr>
          <w:color w:val="2B3545"/>
          <w:shd w:val="clear" w:color="auto" w:fill="FFFFFF"/>
          <w:lang w:val="en-GB"/>
        </w:rPr>
        <w:t>p.</w:t>
      </w:r>
      <w:r w:rsidR="00F5609C" w:rsidRPr="00A33425">
        <w:rPr>
          <w:color w:val="2B3545"/>
          <w:shd w:val="clear" w:color="auto" w:fill="FFFFFF"/>
          <w:lang w:val="en-GB"/>
        </w:rPr>
        <w:t>].</w:t>
      </w:r>
    </w:p>
    <w:p w14:paraId="728E6BE6" w14:textId="77777777" w:rsidR="005F7EB1" w:rsidRPr="00A33425" w:rsidRDefault="005F7EB1" w:rsidP="00AF79E8">
      <w:pPr>
        <w:pStyle w:val="Litteraturpost"/>
        <w:spacing w:line="360" w:lineRule="auto"/>
        <w:rPr>
          <w:lang w:val="en-GB"/>
        </w:rPr>
      </w:pPr>
    </w:p>
    <w:p w14:paraId="7BA3C3CD" w14:textId="35B0739C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>Additionally</w:t>
      </w:r>
      <w:r w:rsidR="00F5609C" w:rsidRPr="00A33425">
        <w:rPr>
          <w:lang w:val="en-GB"/>
        </w:rPr>
        <w:t>,</w:t>
      </w:r>
      <w:r w:rsidRPr="00A33425">
        <w:rPr>
          <w:lang w:val="en-GB"/>
        </w:rPr>
        <w:t xml:space="preserve"> a selection of articles on specific topics, c. </w:t>
      </w:r>
      <w:r w:rsidR="00494815" w:rsidRPr="00A33425">
        <w:rPr>
          <w:lang w:val="en-GB"/>
        </w:rPr>
        <w:t>50</w:t>
      </w:r>
      <w:r w:rsidRPr="00A33425">
        <w:rPr>
          <w:lang w:val="en-GB"/>
        </w:rPr>
        <w:t xml:space="preserve"> pages.</w:t>
      </w:r>
    </w:p>
    <w:p w14:paraId="549B79A5" w14:textId="12BB403A" w:rsidR="00AF79E8" w:rsidRPr="00A33425" w:rsidRDefault="00AF79E8" w:rsidP="00AF79E8">
      <w:pPr>
        <w:pStyle w:val="Litteraturpost"/>
        <w:spacing w:line="360" w:lineRule="auto"/>
        <w:rPr>
          <w:lang w:val="en-GB"/>
        </w:rPr>
      </w:pPr>
      <w:r w:rsidRPr="00A33425">
        <w:rPr>
          <w:lang w:val="en-GB"/>
        </w:rPr>
        <w:t>In total c. 9</w:t>
      </w:r>
      <w:r w:rsidR="00494815" w:rsidRPr="00A33425">
        <w:rPr>
          <w:lang w:val="en-GB"/>
        </w:rPr>
        <w:t>0</w:t>
      </w:r>
      <w:r w:rsidRPr="00A33425">
        <w:rPr>
          <w:lang w:val="en-GB"/>
        </w:rPr>
        <w:t>0 pages.</w:t>
      </w:r>
    </w:p>
    <w:p w14:paraId="2885DC56" w14:textId="77777777" w:rsidR="00E6683E" w:rsidRPr="00A33425" w:rsidRDefault="00000000"/>
    <w:sectPr w:rsidR="00E6683E" w:rsidRPr="00A3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120A" w14:textId="77777777" w:rsidR="00D83AD9" w:rsidRDefault="00D83AD9" w:rsidP="00AF79E8">
      <w:r>
        <w:separator/>
      </w:r>
    </w:p>
  </w:endnote>
  <w:endnote w:type="continuationSeparator" w:id="0">
    <w:p w14:paraId="6C8DD56B" w14:textId="77777777" w:rsidR="00D83AD9" w:rsidRDefault="00D83AD9" w:rsidP="00AF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AD7F" w14:textId="77777777" w:rsidR="00D83AD9" w:rsidRDefault="00D83AD9" w:rsidP="00AF79E8">
      <w:r>
        <w:separator/>
      </w:r>
    </w:p>
  </w:footnote>
  <w:footnote w:type="continuationSeparator" w:id="0">
    <w:p w14:paraId="0708EF30" w14:textId="77777777" w:rsidR="00D83AD9" w:rsidRDefault="00D83AD9" w:rsidP="00AF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E8"/>
    <w:rsid w:val="000D515B"/>
    <w:rsid w:val="0017747E"/>
    <w:rsid w:val="001902F1"/>
    <w:rsid w:val="00260A84"/>
    <w:rsid w:val="002B0B95"/>
    <w:rsid w:val="003A2F09"/>
    <w:rsid w:val="003F4742"/>
    <w:rsid w:val="00450516"/>
    <w:rsid w:val="00494815"/>
    <w:rsid w:val="00585878"/>
    <w:rsid w:val="005F7EB1"/>
    <w:rsid w:val="00651B13"/>
    <w:rsid w:val="00705D53"/>
    <w:rsid w:val="0074717E"/>
    <w:rsid w:val="00775993"/>
    <w:rsid w:val="008610B9"/>
    <w:rsid w:val="008B0812"/>
    <w:rsid w:val="00A33425"/>
    <w:rsid w:val="00A35213"/>
    <w:rsid w:val="00A5605F"/>
    <w:rsid w:val="00A753CA"/>
    <w:rsid w:val="00AF79E8"/>
    <w:rsid w:val="00B07343"/>
    <w:rsid w:val="00B155B2"/>
    <w:rsid w:val="00B60D90"/>
    <w:rsid w:val="00BF7747"/>
    <w:rsid w:val="00C0063E"/>
    <w:rsid w:val="00C30930"/>
    <w:rsid w:val="00C95297"/>
    <w:rsid w:val="00CE3F29"/>
    <w:rsid w:val="00D37E68"/>
    <w:rsid w:val="00D67C3D"/>
    <w:rsid w:val="00D83AD9"/>
    <w:rsid w:val="00DF61B1"/>
    <w:rsid w:val="00E96983"/>
    <w:rsid w:val="00F06DCC"/>
    <w:rsid w:val="00F16F5B"/>
    <w:rsid w:val="00F5609C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BDBA"/>
  <w15:chartTrackingRefBased/>
  <w15:docId w15:val="{57E066E0-C636-4E90-BB95-4B64F695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E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tteraturpost">
    <w:name w:val="Litteraturpost"/>
    <w:basedOn w:val="Normal"/>
    <w:autoRedefine/>
    <w:qFormat/>
    <w:rsid w:val="00AF79E8"/>
    <w:pPr>
      <w:widowControl w:val="0"/>
      <w:suppressLineNumbers/>
      <w:spacing w:line="480" w:lineRule="auto"/>
    </w:pPr>
    <w:rPr>
      <w:rFonts w:ascii="Times New Roman" w:hAnsi="Times New Roman" w:cs="Times New Roman"/>
      <w:bCs/>
      <w14:ligatures w14:val="all"/>
      <w14:numForm w14:val="oldStyle"/>
    </w:rPr>
  </w:style>
  <w:style w:type="paragraph" w:styleId="Sidhuvud">
    <w:name w:val="header"/>
    <w:basedOn w:val="Normal"/>
    <w:link w:val="SidhuvudChar"/>
    <w:uiPriority w:val="99"/>
    <w:unhideWhenUsed/>
    <w:rsid w:val="00AF79E8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79E8"/>
    <w:rPr>
      <w:kern w:val="0"/>
      <w:sz w:val="24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AF79E8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79E8"/>
    <w:rPr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Standardstycketeckensnitt"/>
    <w:rsid w:val="0074717E"/>
  </w:style>
  <w:style w:type="character" w:styleId="Hyperlnk">
    <w:name w:val="Hyperlink"/>
    <w:basedOn w:val="Standardstycketeckensnitt"/>
    <w:uiPriority w:val="99"/>
    <w:unhideWhenUsed/>
    <w:rsid w:val="0074717E"/>
    <w:rPr>
      <w:color w:val="0563C1" w:themeColor="hyperlink"/>
      <w:u w:val="single"/>
    </w:rPr>
  </w:style>
  <w:style w:type="character" w:customStyle="1" w:styleId="author-listitem">
    <w:name w:val="author-list__item"/>
    <w:basedOn w:val="Standardstycketeckensnitt"/>
    <w:rsid w:val="0074717E"/>
  </w:style>
  <w:style w:type="character" w:styleId="Olstomnmnande">
    <w:name w:val="Unresolved Mention"/>
    <w:basedOn w:val="Standardstycketeckensnitt"/>
    <w:uiPriority w:val="99"/>
    <w:semiHidden/>
    <w:unhideWhenUsed/>
    <w:rsid w:val="00B60D9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60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10503-008-9118-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75/jlp.11.1.02f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Santesson</dc:creator>
  <cp:keywords/>
  <dc:description/>
  <cp:lastModifiedBy>Sara Santesson</cp:lastModifiedBy>
  <cp:revision>3</cp:revision>
  <dcterms:created xsi:type="dcterms:W3CDTF">2023-06-16T13:22:00Z</dcterms:created>
  <dcterms:modified xsi:type="dcterms:W3CDTF">2023-06-19T19:57:00Z</dcterms:modified>
</cp:coreProperties>
</file>