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953C" w14:textId="068E8D84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center"/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  <w:t>RETN10, Course Literature</w:t>
      </w:r>
      <w:r w:rsidR="006D36F1" w:rsidRPr="00E1145B"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  <w:t xml:space="preserve"> 2025</w:t>
      </w:r>
    </w:p>
    <w:p w14:paraId="6ECDAAEF" w14:textId="77777777" w:rsidR="007848D1" w:rsidRPr="00E1145B" w:rsidRDefault="007848D1" w:rsidP="00344F51">
      <w:pPr>
        <w:adjustRightInd w:val="0"/>
        <w:snapToGrid w:val="0"/>
        <w:spacing w:after="0" w:line="276" w:lineRule="auto"/>
        <w:contextualSpacing/>
        <w:jc w:val="center"/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</w:pPr>
    </w:p>
    <w:p w14:paraId="749C94EA" w14:textId="76A090D2" w:rsidR="007848D1" w:rsidRPr="00E1145B" w:rsidRDefault="007848D1" w:rsidP="007848D1">
      <w:pPr>
        <w:adjustRightInd w:val="0"/>
        <w:snapToGrid w:val="0"/>
        <w:spacing w:after="0" w:line="276" w:lineRule="auto"/>
        <w:contextualSpacing/>
        <w:rPr>
          <w:rFonts w:ascii="Minion Pro Capt" w:hAnsi="Minion Pro Capt"/>
          <w:b/>
          <w:bCs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/>
          <w:b/>
          <w:bCs/>
          <w:kern w:val="20"/>
          <w:sz w:val="25"/>
          <w:szCs w:val="25"/>
          <w:lang w:val="en-US"/>
          <w14:ligatures w14:val="standard"/>
        </w:rPr>
        <w:t xml:space="preserve">Approved by the head of the Department of Communication and Media, </w:t>
      </w:r>
      <w:r w:rsidR="002A4025" w:rsidRPr="00E1145B">
        <w:rPr>
          <w:rFonts w:ascii="Minion Pro Capt" w:hAnsi="Minion Pro Capt"/>
          <w:b/>
          <w:bCs/>
          <w:kern w:val="20"/>
          <w:sz w:val="25"/>
          <w:szCs w:val="25"/>
          <w:lang w:val="en-US"/>
          <w14:ligatures w14:val="standard"/>
        </w:rPr>
        <w:br/>
      </w:r>
      <w:r w:rsidRPr="00E1145B">
        <w:rPr>
          <w:rFonts w:ascii="Minion Pro Capt" w:hAnsi="Minion Pro Capt"/>
          <w:b/>
          <w:bCs/>
          <w:kern w:val="20"/>
          <w:sz w:val="25"/>
          <w:szCs w:val="25"/>
          <w:lang w:val="en-US"/>
          <w14:ligatures w14:val="standard"/>
        </w:rPr>
        <w:t>19. May 2025</w:t>
      </w:r>
    </w:p>
    <w:p w14:paraId="7210D63E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</w:pPr>
    </w:p>
    <w:p w14:paraId="0AF7F240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outlineLvl w:val="0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  <w:proofErr w:type="spellStart"/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Forchtner</w:t>
      </w:r>
      <w:proofErr w:type="spellEnd"/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,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FFFFF"/>
          <w:lang w:val="en-GB"/>
          <w14:ligatures w14:val="standard"/>
        </w:rPr>
        <w:t> </w:t>
      </w:r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Bernhard and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 </w:t>
      </w:r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 xml:space="preserve">Ana </w:t>
      </w:r>
      <w:proofErr w:type="spellStart"/>
      <w:r w:rsidRPr="00E1145B">
        <w:rPr>
          <w:rStyle w:val="author-listitem"/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Tominc</w:t>
      </w:r>
      <w:proofErr w:type="spellEnd"/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FFFFF"/>
          <w:lang w:val="en-GB"/>
          <w14:ligatures w14:val="standard"/>
        </w:rPr>
        <w:t>.</w:t>
      </w:r>
      <w:r w:rsidRPr="00E1145B">
        <w:rPr>
          <w:rFonts w:ascii="Minion Pro Capt" w:eastAsia="Times New Roman" w:hAnsi="Minion Pro Capt" w:cs="Times New Roman"/>
          <w:color w:val="333333"/>
          <w:kern w:val="20"/>
          <w:sz w:val="25"/>
          <w:szCs w:val="25"/>
          <w:lang w:val="en-GB" w:eastAsia="sv-SE"/>
          <w14:ligatures w14:val="standard"/>
        </w:rPr>
        <w:t xml:space="preserve"> ‘Critique and argumentation: On the relation between the discourse-historical approach and pragma-dialectics.’ </w:t>
      </w:r>
      <w:r w:rsidRPr="00E1145B">
        <w:rPr>
          <w:rFonts w:ascii="Minion Pro Capt" w:hAnsi="Minion Pro Capt" w:cs="Times New Roman"/>
          <w:i/>
          <w:iCs/>
          <w:kern w:val="20"/>
          <w:sz w:val="25"/>
          <w:szCs w:val="25"/>
          <w:lang w:val="en-GB"/>
          <w14:ligatures w14:val="standard"/>
        </w:rPr>
        <w:t>J of Language and Politics</w:t>
      </w:r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 11, nr. 1 (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FFFFF"/>
          <w:lang w:val="en-GB"/>
          <w14:ligatures w14:val="standard"/>
        </w:rPr>
        <w:t xml:space="preserve">2012): 31–50. </w:t>
      </w:r>
      <w:hyperlink r:id="rId7" w:history="1">
        <w:r w:rsidRPr="00E1145B">
          <w:rPr>
            <w:rStyle w:val="Hyperlnk"/>
            <w:rFonts w:ascii="Minion Pro Capt" w:hAnsi="Minion Pro Capt" w:cs="Times New Roman"/>
            <w:color w:val="253776"/>
            <w:kern w:val="20"/>
            <w:sz w:val="25"/>
            <w:szCs w:val="25"/>
            <w:lang w:val="en-GB"/>
            <w14:ligatures w14:val="standard"/>
          </w:rPr>
          <w:t>https://doi.org/10.1075/jlp.11.1.02for</w:t>
        </w:r>
      </w:hyperlink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>. [20 pp]</w:t>
      </w:r>
    </w:p>
    <w:p w14:paraId="6515401D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</w:p>
    <w:p w14:paraId="7B498195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Hietanen, Mika. </w:t>
      </w:r>
      <w:r w:rsidRPr="00E1145B">
        <w:rPr>
          <w:rFonts w:ascii="Minion Pro Capt" w:hAnsi="Minion Pro Capt" w:cs="Times New Roman"/>
          <w:i/>
          <w:iCs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Classical Rhetorical Argumentation for the Rhetorical Critic. 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London: Routledge, 2025. ISBN: 978-1-032-61253-9 (</w:t>
      </w:r>
      <w:proofErr w:type="spellStart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hbk</w:t>
      </w:r>
      <w:proofErr w:type="spellEnd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), 978-1-032-61254-6 (</w:t>
      </w:r>
      <w:proofErr w:type="spellStart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pbk</w:t>
      </w:r>
      <w:proofErr w:type="spellEnd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), 978-1-003-46274-3 (</w:t>
      </w:r>
      <w:proofErr w:type="spellStart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ebk</w:t>
      </w:r>
      <w:proofErr w:type="spellEnd"/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).</w:t>
      </w:r>
      <w:r w:rsidRPr="00E1145B">
        <w:rPr>
          <w:rFonts w:ascii="Minion Pro Capt" w:hAnsi="Minion Pro Capt" w:cs="Times New Roman"/>
          <w:i/>
          <w:iCs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 </w:t>
      </w:r>
      <w:hyperlink r:id="rId8" w:history="1">
        <w:r w:rsidRPr="00E1145B">
          <w:rPr>
            <w:rStyle w:val="Hyperlnk"/>
            <w:rFonts w:ascii="Minion Pro Capt" w:hAnsi="Minion Pro Capt" w:cs="Times New Roman"/>
            <w:kern w:val="20"/>
            <w:sz w:val="25"/>
            <w:szCs w:val="25"/>
            <w:u w:val="none"/>
            <w:shd w:val="clear" w:color="auto" w:fill="FCFCFC"/>
            <w:lang w:val="en-GB"/>
            <w14:ligatures w14:val="standard"/>
          </w:rPr>
          <w:t>https://doi.org/10.4324/9781003462743</w:t>
        </w:r>
      </w:hyperlink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. [170 pp]</w:t>
      </w:r>
    </w:p>
    <w:p w14:paraId="4DFD244B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</w:p>
    <w:p w14:paraId="03663222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</w:pPr>
      <w:proofErr w:type="spellStart"/>
      <w:r w:rsidRPr="00E1145B"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>Houtlosser</w:t>
      </w:r>
      <w:proofErr w:type="spellEnd"/>
      <w:r w:rsidRPr="00E1145B"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>, Peter and M.A. van Rees, eds.</w:t>
      </w:r>
      <w:r w:rsidRPr="00E1145B">
        <w:rPr>
          <w:rStyle w:val="apple-converted-space"/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> </w:t>
      </w:r>
      <w:r w:rsidRPr="00E1145B">
        <w:rPr>
          <w:rFonts w:ascii="Minion Pro Capt" w:hAnsi="Minion Pro Capt" w:cs="Times New Roman"/>
          <w:i/>
          <w:iCs/>
          <w:color w:val="2B3545"/>
          <w:kern w:val="20"/>
          <w:sz w:val="25"/>
          <w:szCs w:val="25"/>
          <w:lang w:val="en-GB"/>
          <w14:ligatures w14:val="standard"/>
        </w:rPr>
        <w:t>Considering Pragma-Dialectics.</w:t>
      </w:r>
      <w:r w:rsidRPr="00E1145B">
        <w:rPr>
          <w:rFonts w:ascii="Minion Pro Capt" w:hAnsi="Minion Pro Capt" w:cs="Times New Roman"/>
          <w:color w:val="2B3545"/>
          <w:kern w:val="20"/>
          <w:sz w:val="25"/>
          <w:szCs w:val="25"/>
          <w:shd w:val="clear" w:color="auto" w:fill="FFFFFF"/>
          <w:lang w:val="en-GB"/>
          <w14:ligatures w14:val="standard"/>
        </w:rPr>
        <w:t xml:space="preserve"> London: Routledge, 2006. [c.15 pp.]</w:t>
      </w:r>
    </w:p>
    <w:p w14:paraId="029DF083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</w:p>
    <w:p w14:paraId="002080E0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Kock, Christian. Book review. ‘Considering Pragma-Dialectics by Peter </w:t>
      </w:r>
      <w:proofErr w:type="spellStart"/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>Houtlosser</w:t>
      </w:r>
      <w:proofErr w:type="spellEnd"/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 and Agnès van Rees, eds. Mahwah, NJ: Lawrence Erlbaum, 2006, 332 pp.’ </w:t>
      </w:r>
      <w:r w:rsidRPr="00E1145B">
        <w:rPr>
          <w:rFonts w:ascii="Minion Pro Capt" w:hAnsi="Minion Pro Capt" w:cs="Times New Roman"/>
          <w:i/>
          <w:iCs/>
          <w:kern w:val="20"/>
          <w:sz w:val="25"/>
          <w:szCs w:val="25"/>
          <w:lang w:val="en-GB"/>
          <w14:ligatures w14:val="standard"/>
        </w:rPr>
        <w:t>Informal Logic</w:t>
      </w:r>
      <w:r w:rsidRPr="00E1145B"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  <w:t xml:space="preserve"> 26, nr. 2 (2006): 221–27. [7 pp.]</w:t>
      </w:r>
    </w:p>
    <w:p w14:paraId="79FCB617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kern w:val="20"/>
          <w:sz w:val="25"/>
          <w:szCs w:val="25"/>
          <w:lang w:val="en-GB"/>
          <w14:ligatures w14:val="standard"/>
        </w:rPr>
      </w:pPr>
    </w:p>
    <w:p w14:paraId="6EE28157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Lumer, Christoph. ‘Pragma-Dialectics and the Function of Argumentation’.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 </w:t>
      </w:r>
      <w:r w:rsidRPr="00E1145B">
        <w:rPr>
          <w:rFonts w:ascii="Minion Pro Capt" w:hAnsi="Minion Pro Capt" w:cs="Times New Roman"/>
          <w:i/>
          <w:iCs/>
          <w:color w:val="333333"/>
          <w:kern w:val="20"/>
          <w:sz w:val="25"/>
          <w:szCs w:val="25"/>
          <w:lang w:val="en-GB"/>
          <w14:ligatures w14:val="standard"/>
        </w:rPr>
        <w:t>Argumentation</w:t>
      </w:r>
      <w:r w:rsidRPr="00E1145B">
        <w:rPr>
          <w:rStyle w:val="apple-converted-space"/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 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lang w:val="en-GB"/>
          <w14:ligatures w14:val="standard"/>
        </w:rPr>
        <w:t>24</w:t>
      </w:r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 xml:space="preserve"> (2010): 41–69. </w:t>
      </w:r>
      <w:hyperlink r:id="rId9" w:history="1">
        <w:r w:rsidRPr="00E1145B">
          <w:rPr>
            <w:rStyle w:val="Hyperlnk"/>
            <w:rFonts w:ascii="Minion Pro Capt" w:hAnsi="Minion Pro Capt" w:cs="Times New Roman"/>
            <w:kern w:val="20"/>
            <w:sz w:val="25"/>
            <w:szCs w:val="25"/>
            <w:shd w:val="clear" w:color="auto" w:fill="FCFCFC"/>
            <w:lang w:val="en-GB"/>
            <w14:ligatures w14:val="standard"/>
          </w:rPr>
          <w:t>https://doi.org/10.1007/s10503-008-9118-7</w:t>
        </w:r>
      </w:hyperlink>
      <w:r w:rsidRPr="00E1145B"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  <w:t>. [20 pp.]</w:t>
      </w:r>
    </w:p>
    <w:p w14:paraId="0288D355" w14:textId="77777777" w:rsidR="00344F51" w:rsidRPr="00E1145B" w:rsidRDefault="00344F51" w:rsidP="00344F51">
      <w:pPr>
        <w:adjustRightInd w:val="0"/>
        <w:snapToGrid w:val="0"/>
        <w:spacing w:after="0" w:line="276" w:lineRule="auto"/>
        <w:contextualSpacing/>
        <w:jc w:val="both"/>
        <w:rPr>
          <w:rFonts w:ascii="Minion Pro Capt" w:hAnsi="Minion Pro Capt" w:cs="Times New Roman"/>
          <w:color w:val="333333"/>
          <w:kern w:val="20"/>
          <w:sz w:val="25"/>
          <w:szCs w:val="25"/>
          <w:shd w:val="clear" w:color="auto" w:fill="FCFCFC"/>
          <w:lang w:val="en-GB"/>
          <w14:ligatures w14:val="standard"/>
        </w:rPr>
      </w:pPr>
    </w:p>
    <w:p w14:paraId="56200692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(Ed.), </w:t>
      </w:r>
      <w:r w:rsidRPr="00E1145B">
        <w:rPr>
          <w:rFonts w:ascii="Minion Pro Capt" w:hAnsi="Minion Pro Capt"/>
          <w:i/>
          <w:kern w:val="20"/>
          <w:sz w:val="25"/>
          <w:szCs w:val="25"/>
          <w:lang w:val="en-GB"/>
          <w14:ligatures w14:val="standard"/>
          <w14:numForm w14:val="default"/>
        </w:rPr>
        <w:t>Crucial concepts in argumentation theory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. Amsterdam: Amsterdam University Press, 2001. [selection: 175 pp.]</w:t>
      </w:r>
    </w:p>
    <w:p w14:paraId="25A8ECB4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5C8D81D1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and Peter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Houtlosser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(Eds) (2009). ‘Seizing the Occasion: Parameters for Analysing Ways of Strategic Manoeuvring.’ In: 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F.H.,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Garssen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B. (Eds)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Pondering on Problems of Argumentation,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3–14.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 xml:space="preserve">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Dordrecht: Springer, 2009. </w:t>
      </w:r>
      <w:hyperlink r:id="rId10" w:history="1">
        <w:r w:rsidRPr="00E1145B">
          <w:rPr>
            <w:rStyle w:val="Hyperlnk"/>
            <w:rFonts w:ascii="Minion Pro Capt" w:hAnsi="Minion Pro Capt"/>
            <w:kern w:val="20"/>
            <w:sz w:val="25"/>
            <w:szCs w:val="25"/>
            <w:u w:val="none"/>
            <w:lang w:val="en-GB"/>
            <w14:ligatures w14:val="standard"/>
            <w14:numForm w14:val="default"/>
          </w:rPr>
          <w:t>https://doi.org/10.1007/978-1-4020-9165-0_1</w:t>
        </w:r>
      </w:hyperlink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. Open Access. [14 pp]</w:t>
      </w:r>
    </w:p>
    <w:p w14:paraId="3BBA1341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6C8186C4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F.H. and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Snoeck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, H. A. F. 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Argumentation: Analysis and evaluation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. 2nd ed. New York, NY: Routledge, 2017. [1st ed.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not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to be used] [selection: 100 pp.]</w:t>
      </w:r>
    </w:p>
    <w:p w14:paraId="401C0B75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0EF063E5" w14:textId="52B9E2DA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da-DK"/>
          <w14:ligatures w14:val="standard"/>
          <w14:numForm w14:val="default"/>
        </w:rPr>
        <w:t xml:space="preserve">van Eemeren, F.H. et al. eds. </w:t>
      </w:r>
      <w:r w:rsidRPr="00E1145B">
        <w:rPr>
          <w:rFonts w:ascii="Minion Pro Capt" w:hAnsi="Minion Pro Capt"/>
          <w:i/>
          <w:kern w:val="20"/>
          <w:sz w:val="25"/>
          <w:szCs w:val="25"/>
          <w:lang w:val="en-GB"/>
          <w14:ligatures w14:val="standard"/>
          <w14:numForm w14:val="default"/>
        </w:rPr>
        <w:t>Handbook of Argumentation Theory.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Dordrecht: Springer, 2014 [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Full text access via LUB.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] Access through LUB.</w:t>
      </w:r>
      <w:r w:rsidR="002C0086"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[selection: 125 pp.]</w:t>
      </w:r>
    </w:p>
    <w:p w14:paraId="3734FA3F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06710341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van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Eemeren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, F. H. and Rob Grootendorst.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>Argumentation, Communication, and Fallacies: A Pragma-dialectical Perspective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. Hillsdale, NJ: Lawrence Erlbaum, 1992. [Later editions are reprints, including an e-book.] [selection: 200 of 252 pp.]</w:t>
      </w:r>
    </w:p>
    <w:p w14:paraId="38968937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021ACA17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Woods, John. ‘Pragma-Dialectics: A Retrospective’. In </w:t>
      </w:r>
      <w:r w:rsidRPr="00E1145B">
        <w:rPr>
          <w:rFonts w:ascii="Minion Pro Capt" w:hAnsi="Minion Pro Capt"/>
          <w:i/>
          <w:iCs/>
          <w:kern w:val="20"/>
          <w:sz w:val="25"/>
          <w:szCs w:val="25"/>
          <w:lang w:val="en-GB"/>
          <w14:ligatures w14:val="standard"/>
          <w14:numForm w14:val="default"/>
        </w:rPr>
        <w:t xml:space="preserve">Considering Pragma-Dialectics.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Edited by Peter </w:t>
      </w:r>
      <w:proofErr w:type="spellStart"/>
      <w:r w:rsidRPr="00E1145B">
        <w:rPr>
          <w:rFonts w:ascii="Minion Pro Capt" w:hAnsi="Minion Pro Capt"/>
          <w:kern w:val="20"/>
          <w:sz w:val="25"/>
          <w:szCs w:val="25"/>
          <w:shd w:val="clear" w:color="auto" w:fill="FFFFFF"/>
          <w:lang w:val="en-GB"/>
          <w14:ligatures w14:val="standard"/>
          <w14:numForm w14:val="default"/>
        </w:rPr>
        <w:t>Houtlosser</w:t>
      </w:r>
      <w:proofErr w:type="spellEnd"/>
      <w:r w:rsidRPr="00E1145B">
        <w:rPr>
          <w:rFonts w:ascii="Minion Pro Capt" w:hAnsi="Minion Pro Capt"/>
          <w:kern w:val="20"/>
          <w:sz w:val="25"/>
          <w:szCs w:val="25"/>
          <w:shd w:val="clear" w:color="auto" w:fill="FFFFFF"/>
          <w:lang w:val="en-GB"/>
          <w14:ligatures w14:val="standard"/>
          <w14:numForm w14:val="default"/>
        </w:rPr>
        <w:t xml:space="preserve"> and M. A. van Rees, 301–311. London: Routledge, 2006. [10 pp.]</w:t>
      </w:r>
    </w:p>
    <w:p w14:paraId="58C7964B" w14:textId="77777777" w:rsidR="00344F5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65CDC97F" w14:textId="77777777" w:rsidR="007848D1" w:rsidRPr="00E1145B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>Additionally, a selection of essays on specific topics, c.</w:t>
      </w:r>
      <w:r w:rsidR="006D36F1"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 </w:t>
      </w:r>
      <w:r w:rsidRPr="00E1145B"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  <w:t xml:space="preserve">50 pp. </w:t>
      </w:r>
    </w:p>
    <w:p w14:paraId="08CAE0F4" w14:textId="77777777" w:rsidR="007848D1" w:rsidRPr="00E1145B" w:rsidRDefault="007848D1" w:rsidP="00344F51">
      <w:pPr>
        <w:pStyle w:val="Litteraturpost"/>
        <w:rPr>
          <w:rFonts w:ascii="Minion Pro Capt" w:hAnsi="Minion Pro Capt"/>
          <w:kern w:val="20"/>
          <w:sz w:val="25"/>
          <w:szCs w:val="25"/>
          <w:lang w:val="en-GB"/>
          <w14:ligatures w14:val="standard"/>
          <w14:numForm w14:val="default"/>
        </w:rPr>
      </w:pPr>
    </w:p>
    <w:p w14:paraId="7BDD8F17" w14:textId="22B80600" w:rsidR="00344F51" w:rsidRPr="006D36F1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</w:pPr>
      <w:r w:rsidRPr="00E1145B"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  <w:t>In total c.</w:t>
      </w:r>
      <w:r w:rsidR="006D36F1" w:rsidRPr="00E1145B"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  <w:t xml:space="preserve"> </w:t>
      </w:r>
      <w:r w:rsidRPr="00E1145B"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  <w:t>900 pages.</w:t>
      </w:r>
    </w:p>
    <w:p w14:paraId="7DC76002" w14:textId="77777777" w:rsidR="00344F51" w:rsidRPr="006D36F1" w:rsidRDefault="00344F51" w:rsidP="00344F51">
      <w:pPr>
        <w:pStyle w:val="Litteraturpost"/>
        <w:rPr>
          <w:rFonts w:ascii="Minion Pro Capt" w:hAnsi="Minion Pro Capt"/>
          <w:kern w:val="20"/>
          <w:sz w:val="25"/>
          <w:szCs w:val="25"/>
          <w14:ligatures w14:val="standard"/>
          <w14:numForm w14:val="default"/>
        </w:rPr>
      </w:pPr>
    </w:p>
    <w:p w14:paraId="69259200" w14:textId="77777777" w:rsidR="00501CB0" w:rsidRDefault="00501CB0"/>
    <w:sectPr w:rsidR="00501CB0" w:rsidSect="00344F51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31" w:right="1644" w:bottom="1644" w:left="164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A6F7" w14:textId="77777777" w:rsidR="006876C3" w:rsidRDefault="006876C3" w:rsidP="00344F51">
      <w:pPr>
        <w:spacing w:after="0" w:line="240" w:lineRule="auto"/>
      </w:pPr>
      <w:r>
        <w:separator/>
      </w:r>
    </w:p>
  </w:endnote>
  <w:endnote w:type="continuationSeparator" w:id="0">
    <w:p w14:paraId="3079FB9D" w14:textId="77777777" w:rsidR="006876C3" w:rsidRDefault="006876C3" w:rsidP="0034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LT Pro"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GILL SANS LIGHT"/>
    <w:charset w:val="B1"/>
    <w:family w:val="swiss"/>
    <w:pitch w:val="variable"/>
    <w:sig w:usb0="80000A67" w:usb1="00000000" w:usb2="00000000" w:usb3="00000000" w:csb0="000001F7" w:csb1="00000000"/>
  </w:font>
  <w:font w:name="Times New Roman (CS-brödtext)">
    <w:altName w:val="Times New Roman"/>
    <w:charset w:val="00"/>
    <w:family w:val="roman"/>
    <w:pitch w:val="default"/>
  </w:font>
  <w:font w:name="Adobe Jenson Pro">
    <w:altName w:val="Cambria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Jenson Pro Subh">
    <w:altName w:val="Cambria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299991004"/>
      <w:docPartObj>
        <w:docPartGallery w:val="Page Numbers (Bottom of Page)"/>
        <w:docPartUnique/>
      </w:docPartObj>
    </w:sdtPr>
    <w:sdtContent>
      <w:p w14:paraId="18194037" w14:textId="77777777" w:rsidR="00E16223" w:rsidRDefault="00000000" w:rsidP="00604CC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BC13069" w14:textId="77777777" w:rsidR="00E16223" w:rsidRDefault="00E162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648980387"/>
      <w:docPartObj>
        <w:docPartGallery w:val="Page Numbers (Bottom of Page)"/>
        <w:docPartUnique/>
      </w:docPartObj>
    </w:sdtPr>
    <w:sdtEndPr>
      <w:rPr>
        <w:rStyle w:val="Sidnummer"/>
        <w:rFonts w:ascii="Minion Pro Capt" w:hAnsi="Minion Pro Capt"/>
        <w:sz w:val="25"/>
        <w:szCs w:val="25"/>
      </w:rPr>
    </w:sdtEndPr>
    <w:sdtContent>
      <w:p w14:paraId="6978F844" w14:textId="77777777" w:rsidR="00E16223" w:rsidRDefault="00000000" w:rsidP="00604CCB">
        <w:pPr>
          <w:pStyle w:val="Sidfot"/>
          <w:framePr w:wrap="none" w:vAnchor="text" w:hAnchor="margin" w:xAlign="center" w:y="1"/>
          <w:rPr>
            <w:rStyle w:val="Sidnummer"/>
          </w:rPr>
        </w:pP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fldChar w:fldCharType="begin"/>
        </w: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instrText xml:space="preserve"> PAGE </w:instrText>
        </w: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fldChar w:fldCharType="separate"/>
        </w:r>
        <w:r>
          <w:rPr>
            <w:rStyle w:val="Sidnummer"/>
            <w:rFonts w:ascii="Adobe Jenson Pro Subh" w:hAnsi="Adobe Jenson Pro Subh"/>
            <w:noProof/>
            <w:sz w:val="24"/>
            <w:szCs w:val="24"/>
          </w:rPr>
          <w:t>7</w:t>
        </w:r>
        <w:r w:rsidRPr="0045718E">
          <w:rPr>
            <w:rStyle w:val="Sidnummer"/>
            <w:rFonts w:ascii="Adobe Jenson Pro Subh" w:hAnsi="Adobe Jenson Pro Subh"/>
            <w:sz w:val="24"/>
            <w:szCs w:val="24"/>
          </w:rPr>
          <w:fldChar w:fldCharType="end"/>
        </w:r>
      </w:p>
    </w:sdtContent>
  </w:sdt>
  <w:p w14:paraId="60D9380B" w14:textId="77777777" w:rsidR="00E16223" w:rsidRDefault="00E1622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215" w14:textId="77777777" w:rsidR="00E16223" w:rsidRPr="006E37FD" w:rsidRDefault="00000000" w:rsidP="00B04EB4">
    <w:pPr>
      <w:pStyle w:val="Sidfot"/>
      <w:jc w:val="right"/>
      <w:rPr>
        <w:sz w:val="20"/>
        <w:szCs w:val="20"/>
      </w:rPr>
    </w:pPr>
    <w:r w:rsidRPr="006E37FD">
      <w:rPr>
        <w:sz w:val="20"/>
        <w:szCs w:val="20"/>
      </w:rPr>
      <w:t>24/10 2023 MH v.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80C2" w14:textId="77777777" w:rsidR="006876C3" w:rsidRDefault="006876C3" w:rsidP="00344F51">
      <w:pPr>
        <w:spacing w:after="0" w:line="240" w:lineRule="auto"/>
      </w:pPr>
      <w:r>
        <w:separator/>
      </w:r>
    </w:p>
  </w:footnote>
  <w:footnote w:type="continuationSeparator" w:id="0">
    <w:p w14:paraId="3E8B0AE4" w14:textId="77777777" w:rsidR="006876C3" w:rsidRDefault="006876C3" w:rsidP="0034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01A1" w14:textId="77777777" w:rsidR="00E16223" w:rsidRPr="00EB460A" w:rsidRDefault="00000000" w:rsidP="00CF46F5">
    <w:pPr>
      <w:pStyle w:val="Rubrik1"/>
      <w:jc w:val="center"/>
      <w:rPr>
        <w:rFonts w:ascii="Adobe Jenson Pro" w:hAnsi="Adobe Jenson Pro"/>
        <w:spacing w:val="6"/>
        <w:sz w:val="24"/>
        <w14:ligatures w14:val="all"/>
        <w14:numForm w14:val="oldStyle"/>
      </w:rPr>
    </w:pPr>
    <w:proofErr w:type="spellStart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>rhetorical</w:t>
    </w:r>
    <w:proofErr w:type="spellEnd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 xml:space="preserve"> argumentation (retn10, 7.5 </w:t>
    </w:r>
    <w:proofErr w:type="spellStart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>cr</w:t>
    </w:r>
    <w:proofErr w:type="spellEnd"/>
    <w:r w:rsidRPr="00EB460A">
      <w:rPr>
        <w:rFonts w:ascii="Adobe Jenson Pro" w:hAnsi="Adobe Jenson Pro"/>
        <w:spacing w:val="6"/>
        <w:sz w:val="24"/>
        <w14:ligatures w14:val="all"/>
        <w14:numForm w14:val="oldSty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2BEB"/>
    <w:multiLevelType w:val="hybridMultilevel"/>
    <w:tmpl w:val="4726EF70"/>
    <w:lvl w:ilvl="0" w:tplc="09C2B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09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1"/>
    <w:rsid w:val="00022D3B"/>
    <w:rsid w:val="00142D8D"/>
    <w:rsid w:val="00184C9C"/>
    <w:rsid w:val="001F3B5B"/>
    <w:rsid w:val="00221FFD"/>
    <w:rsid w:val="00282A86"/>
    <w:rsid w:val="00293CD0"/>
    <w:rsid w:val="002A4025"/>
    <w:rsid w:val="002C0086"/>
    <w:rsid w:val="002C46D8"/>
    <w:rsid w:val="00344F51"/>
    <w:rsid w:val="00377D59"/>
    <w:rsid w:val="003E3DD6"/>
    <w:rsid w:val="00443D9D"/>
    <w:rsid w:val="004512C1"/>
    <w:rsid w:val="004F034D"/>
    <w:rsid w:val="00501CB0"/>
    <w:rsid w:val="00520443"/>
    <w:rsid w:val="005E6470"/>
    <w:rsid w:val="00622B4C"/>
    <w:rsid w:val="00650D62"/>
    <w:rsid w:val="006705AA"/>
    <w:rsid w:val="006876C3"/>
    <w:rsid w:val="006B48DC"/>
    <w:rsid w:val="006D36F1"/>
    <w:rsid w:val="007848D1"/>
    <w:rsid w:val="007C71DA"/>
    <w:rsid w:val="00806A89"/>
    <w:rsid w:val="00843091"/>
    <w:rsid w:val="0088628B"/>
    <w:rsid w:val="009C7F06"/>
    <w:rsid w:val="00A444F4"/>
    <w:rsid w:val="00A62D67"/>
    <w:rsid w:val="00A700BA"/>
    <w:rsid w:val="00B25CA1"/>
    <w:rsid w:val="00B715E5"/>
    <w:rsid w:val="00BA22C0"/>
    <w:rsid w:val="00BE404C"/>
    <w:rsid w:val="00C00BAE"/>
    <w:rsid w:val="00C27C27"/>
    <w:rsid w:val="00C322FA"/>
    <w:rsid w:val="00CA7F66"/>
    <w:rsid w:val="00CC5CBD"/>
    <w:rsid w:val="00CE60DC"/>
    <w:rsid w:val="00D6673B"/>
    <w:rsid w:val="00E1145B"/>
    <w:rsid w:val="00E1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D7E4"/>
  <w15:chartTrackingRefBased/>
  <w15:docId w15:val="{CF4062B8-FB57-2D4F-BC98-5532327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LT Pro" w:eastAsiaTheme="minorHAnsi" w:hAnsi="Sabon LT Pro" w:cs="Times New Roman"/>
        <w:kern w:val="20"/>
        <w:sz w:val="24"/>
        <w:szCs w:val="24"/>
        <w:lang w:val="sv-SE" w:eastAsia="en-US" w:bidi="ar-SA"/>
        <w14:ligatures w14:val="standardContextual"/>
        <w14:cntxtAlts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51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  <w14:cntxtAlts w14:val="0"/>
    </w:rPr>
  </w:style>
  <w:style w:type="paragraph" w:styleId="Rubrik1">
    <w:name w:val="heading 1"/>
    <w:basedOn w:val="Normal"/>
    <w:next w:val="Normal"/>
    <w:link w:val="Rubrik1Char"/>
    <w:uiPriority w:val="9"/>
    <w:qFormat/>
    <w:rsid w:val="0034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4512C1"/>
    <w:pPr>
      <w:pBdr>
        <w:bottom w:val="single" w:sz="4" w:space="1" w:color="auto"/>
      </w:pBdr>
      <w:spacing w:before="480" w:after="240" w:line="312" w:lineRule="auto"/>
      <w:outlineLvl w:val="2"/>
    </w:pPr>
    <w:rPr>
      <w:rFonts w:ascii="Calibri" w:hAnsi="Calibri"/>
      <w:color w:val="0070C0"/>
      <w:spacing w:val="5"/>
      <w:kern w:val="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4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4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4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4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aliases w:val="Ingresscitat"/>
    <w:basedOn w:val="Normal"/>
    <w:next w:val="Normal"/>
    <w:link w:val="CitatChar"/>
    <w:autoRedefine/>
    <w:uiPriority w:val="29"/>
    <w:qFormat/>
    <w:rsid w:val="004512C1"/>
    <w:pPr>
      <w:spacing w:before="240" w:after="480" w:line="312" w:lineRule="auto"/>
      <w:jc w:val="right"/>
    </w:pPr>
    <w:rPr>
      <w:rFonts w:ascii="Calibri Light" w:eastAsia="Times New Roman" w:hAnsi="Calibri Light" w:cs="Gill Sans Light"/>
      <w:i/>
      <w:iCs/>
      <w:kern w:val="2"/>
      <w:shd w:val="clear" w:color="auto" w:fill="FFFFFF"/>
      <w:lang w:eastAsia="sv-SE"/>
    </w:rPr>
  </w:style>
  <w:style w:type="character" w:customStyle="1" w:styleId="CitatChar">
    <w:name w:val="Citat Char"/>
    <w:aliases w:val="Ingresscitat Char"/>
    <w:basedOn w:val="Standardstycketeckensnitt"/>
    <w:link w:val="Citat"/>
    <w:uiPriority w:val="29"/>
    <w:rsid w:val="004512C1"/>
    <w:rPr>
      <w:rFonts w:ascii="Calibri Light" w:eastAsia="Times New Roman" w:hAnsi="Calibri Light" w:cs="Gill Sans Light"/>
      <w:i/>
      <w:iCs/>
      <w:szCs w:val="22"/>
      <w:lang w:eastAsia="sv-SE"/>
      <w14:numForm w14:val="oldStyle"/>
    </w:rPr>
  </w:style>
  <w:style w:type="paragraph" w:styleId="Starktcitat">
    <w:name w:val="Intense Quote"/>
    <w:aliases w:val="Blockcitat"/>
    <w:basedOn w:val="Citat"/>
    <w:next w:val="Normal"/>
    <w:link w:val="StarktcitatChar"/>
    <w:autoRedefine/>
    <w:uiPriority w:val="30"/>
    <w:qFormat/>
    <w:rsid w:val="006B48DC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napToGrid w:val="0"/>
      <w:spacing w:line="276" w:lineRule="auto"/>
      <w:ind w:left="737" w:right="737"/>
      <w:contextualSpacing/>
      <w:jc w:val="left"/>
    </w:pPr>
    <w:rPr>
      <w:i w:val="0"/>
    </w:rPr>
  </w:style>
  <w:style w:type="character" w:customStyle="1" w:styleId="StarktcitatChar">
    <w:name w:val="Starkt citat Char"/>
    <w:aliases w:val="Blockcitat Char"/>
    <w:basedOn w:val="Standardstycketeckensnitt"/>
    <w:link w:val="Starktcitat"/>
    <w:uiPriority w:val="30"/>
    <w:rsid w:val="006B48DC"/>
    <w:rPr>
      <w:rFonts w:ascii="Gill Sans Light" w:hAnsi="Gill Sans Light" w:cs="Gill Sans Light"/>
      <w:iCs/>
      <w:sz w:val="22"/>
      <w:szCs w:val="22"/>
      <w:shd w:val="clear" w:color="auto" w:fill="E97132" w:themeFill="accent2"/>
      <w14:numForm w14:val="oldStyle"/>
    </w:rPr>
  </w:style>
  <w:style w:type="character" w:customStyle="1" w:styleId="Rubrik3Char">
    <w:name w:val="Rubrik 3 Char"/>
    <w:basedOn w:val="Standardstycketeckensnitt"/>
    <w:link w:val="Rubrik3"/>
    <w:uiPriority w:val="9"/>
    <w:rsid w:val="004512C1"/>
    <w:rPr>
      <w:rFonts w:ascii="Calibri" w:hAnsi="Calibri" w:cs="Times New Roman (CS-brödtext)"/>
      <w:color w:val="0070C0"/>
      <w:spacing w:val="5"/>
      <w14:ligatures w14:val="standard"/>
      <w14:numForm w14:val="oldStyle"/>
    </w:rPr>
  </w:style>
  <w:style w:type="character" w:customStyle="1" w:styleId="Rubrik1Char">
    <w:name w:val="Rubrik 1 Char"/>
    <w:basedOn w:val="Standardstycketeckensnitt"/>
    <w:link w:val="Rubrik1"/>
    <w:uiPriority w:val="9"/>
    <w:rsid w:val="0034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4F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4F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4F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4F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4F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4F51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4F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344F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4F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4F51"/>
    <w:rPr>
      <w:b/>
      <w:bCs/>
      <w:smallCaps/>
      <w:color w:val="0F4761" w:themeColor="accent1" w:themeShade="BF"/>
      <w:spacing w:val="5"/>
    </w:rPr>
  </w:style>
  <w:style w:type="paragraph" w:customStyle="1" w:styleId="Litteraturpost">
    <w:name w:val="Litteraturpost"/>
    <w:basedOn w:val="Normal"/>
    <w:autoRedefine/>
    <w:qFormat/>
    <w:rsid w:val="00344F51"/>
    <w:pPr>
      <w:widowControl w:val="0"/>
      <w:suppressLineNumbers/>
      <w:adjustRightInd w:val="0"/>
      <w:snapToGrid w:val="0"/>
      <w:spacing w:after="0" w:line="276" w:lineRule="auto"/>
      <w:contextualSpacing/>
      <w:jc w:val="both"/>
    </w:pPr>
    <w:rPr>
      <w:rFonts w:ascii="Adobe Jenson Pro" w:hAnsi="Adobe Jenson Pro" w:cstheme="majorHAnsi"/>
      <w:bCs/>
      <w:sz w:val="26"/>
      <w:szCs w:val="26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unhideWhenUsed/>
    <w:rsid w:val="00344F51"/>
    <w:rPr>
      <w:color w:val="467886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4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4F51"/>
    <w:rPr>
      <w:rFonts w:asciiTheme="minorHAnsi" w:hAnsiTheme="minorHAnsi" w:cstheme="minorBidi"/>
      <w:kern w:val="0"/>
      <w:sz w:val="22"/>
      <w:szCs w:val="22"/>
      <w14:ligatures w14:val="none"/>
      <w14:cntxtAlts w14:val="0"/>
    </w:rPr>
  </w:style>
  <w:style w:type="character" w:styleId="Sidnummer">
    <w:name w:val="page number"/>
    <w:basedOn w:val="Standardstycketeckensnitt"/>
    <w:uiPriority w:val="99"/>
    <w:semiHidden/>
    <w:unhideWhenUsed/>
    <w:rsid w:val="00344F51"/>
  </w:style>
  <w:style w:type="character" w:customStyle="1" w:styleId="apple-converted-space">
    <w:name w:val="apple-converted-space"/>
    <w:basedOn w:val="Standardstycketeckensnitt"/>
    <w:rsid w:val="00344F51"/>
  </w:style>
  <w:style w:type="character" w:customStyle="1" w:styleId="author-listitem">
    <w:name w:val="author-list__item"/>
    <w:basedOn w:val="Standardstycketeckensnitt"/>
    <w:rsid w:val="00344F51"/>
  </w:style>
  <w:style w:type="character" w:styleId="AnvndHyperlnk">
    <w:name w:val="FollowedHyperlink"/>
    <w:basedOn w:val="Standardstycketeckensnitt"/>
    <w:uiPriority w:val="99"/>
    <w:semiHidden/>
    <w:unhideWhenUsed/>
    <w:rsid w:val="00344F51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4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4F51"/>
    <w:rPr>
      <w:rFonts w:asciiTheme="minorHAnsi" w:hAnsiTheme="minorHAnsi" w:cstheme="minorBidi"/>
      <w:kern w:val="0"/>
      <w:sz w:val="22"/>
      <w:szCs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00346274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75/jlp.11.1.02fo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7/978-1-4020-9165-0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503-008-9118-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Hietanen</dc:creator>
  <cp:keywords/>
  <dc:description/>
  <cp:lastModifiedBy>Sara Santesson</cp:lastModifiedBy>
  <cp:revision>10</cp:revision>
  <dcterms:created xsi:type="dcterms:W3CDTF">2025-05-14T09:16:00Z</dcterms:created>
  <dcterms:modified xsi:type="dcterms:W3CDTF">2025-05-19T11:44:00Z</dcterms:modified>
</cp:coreProperties>
</file>